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76E" w:rsidRPr="0095476E" w:rsidRDefault="0095476E" w:rsidP="0095476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</w:pPr>
      <w:r w:rsidRPr="0095476E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>Related documents</w:t>
      </w:r>
    </w:p>
    <w:p w:rsidR="0095476E" w:rsidRPr="0095476E" w:rsidRDefault="0095476E" w:rsidP="0095476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5476E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Legislation</w:t>
      </w:r>
      <w:r w:rsidRPr="0095476E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95476E" w:rsidRPr="00637E2A" w:rsidRDefault="001F7AAC" w:rsidP="0095476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</w:pPr>
      <w:hyperlink r:id="rId5" w:tgtFrame="_blank" w:tooltip="Directive 2004/8/EC of the European Parliament and of the&#10;Council of 11 February 2004 on the promotion of cogeneration based on a useful&#10;heat demand in the internal energy market and amending Directive&#10;92/42/EEC" w:history="1">
        <w:r w:rsidR="0095476E" w:rsidRPr="00637E2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es-ES"/>
          </w:rPr>
          <w:t>Directive 2004/8/EC of the European Parliament and of the Council of 11 February 2004 on the promotion of cogeneration based on a useful heat demand in the internal energy market and amending Directive 92/42/EEC</w:t>
        </w:r>
      </w:hyperlink>
      <w:r w:rsidR="0095476E" w:rsidRPr="00637E2A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t xml:space="preserve"> </w:t>
      </w:r>
    </w:p>
    <w:p w:rsidR="0095476E" w:rsidRPr="00637E2A" w:rsidRDefault="001F7AAC" w:rsidP="0095476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</w:pPr>
      <w:hyperlink r:id="rId6" w:tgtFrame="_blank" w:tooltip="Commission Decision of 19 November 2008 establishing detailed&#10;guidelines for the implementation and application of Annex II to Directive&#10;2004/8/EC of the European Parliament and of the Council (2008/952/EC)" w:history="1">
        <w:r w:rsidR="0095476E" w:rsidRPr="00637E2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es-ES"/>
          </w:rPr>
          <w:t>Commission Decision of 19 November 2008 establishing detailed guidelines for the implementation and application of Annex II to Directive 2004/8/EC of the European Parliament and of the Council (2008/952/EC)</w:t>
        </w:r>
      </w:hyperlink>
      <w:r w:rsidR="0095476E" w:rsidRPr="00637E2A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t xml:space="preserve"> </w:t>
      </w:r>
    </w:p>
    <w:p w:rsidR="0095476E" w:rsidRPr="00637E2A" w:rsidRDefault="001F7AAC" w:rsidP="0095476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</w:pPr>
      <w:hyperlink r:id="rId7" w:tooltip="&#10;Commission Decision of 21 December 2006 establishing harmonised efficiency&#10;reference values for separate production of electricity and heat in application&#10;of Directive 2004/8/EC of the European Parliament and of the Council&#10;(2007/74/EC)" w:history="1">
        <w:r w:rsidR="0095476E" w:rsidRPr="00637E2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es-ES"/>
          </w:rPr>
          <w:t xml:space="preserve">Commission Decision of 21 December 2006 establishing </w:t>
        </w:r>
        <w:proofErr w:type="spellStart"/>
        <w:r w:rsidR="0095476E" w:rsidRPr="00637E2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es-ES"/>
          </w:rPr>
          <w:t>harmonised</w:t>
        </w:r>
        <w:proofErr w:type="spellEnd"/>
        <w:r w:rsidR="0095476E" w:rsidRPr="00637E2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es-ES"/>
          </w:rPr>
          <w:t xml:space="preserve"> efficiency reference values for separate production of electricity and heat in application of Directive 2004/8/EC of the European Parliament and of the Council (2007/74/EC)</w:t>
        </w:r>
      </w:hyperlink>
      <w:r w:rsidR="0095476E" w:rsidRPr="00637E2A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t xml:space="preserve"> </w:t>
      </w:r>
    </w:p>
    <w:p w:rsidR="0095476E" w:rsidRPr="0095476E" w:rsidRDefault="0095476E" w:rsidP="0095476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5476E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Summaries of Legislation</w:t>
      </w:r>
      <w:r w:rsidRPr="0095476E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95476E" w:rsidRPr="0095476E" w:rsidRDefault="001F7AAC" w:rsidP="0095476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8" w:tgtFrame="_blank" w:tooltip="Cogeneration" w:history="1">
        <w:r w:rsidR="0095476E" w:rsidRPr="0095476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Cogeneration</w:t>
        </w:r>
      </w:hyperlink>
      <w:r w:rsidR="0095476E" w:rsidRPr="0095476E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FF7E64" w:rsidRDefault="00FF7E64"/>
    <w:p w:rsidR="00830BD3" w:rsidRDefault="00830BD3">
      <w:pPr>
        <w:rPr>
          <w:sz w:val="24"/>
          <w:szCs w:val="24"/>
        </w:rPr>
      </w:pPr>
      <w:r w:rsidRPr="003007E8">
        <w:rPr>
          <w:b/>
          <w:sz w:val="24"/>
          <w:szCs w:val="24"/>
        </w:rPr>
        <w:t>Principio de Cogeneración</w:t>
      </w:r>
      <w:r w:rsidRPr="003007E8">
        <w:rPr>
          <w:sz w:val="24"/>
          <w:szCs w:val="24"/>
        </w:rPr>
        <w:t xml:space="preserve">. La cogeneración, CHP, se define como la generación secuencial a partir de una energía primaria, de energía mecánica y energía térmica. </w:t>
      </w:r>
      <w:r w:rsidR="003007E8" w:rsidRPr="003007E8">
        <w:rPr>
          <w:sz w:val="24"/>
          <w:szCs w:val="24"/>
        </w:rPr>
        <w:t xml:space="preserve">La energía mecánica se puede utilizar para mover un alternador para producir electricidad, o un equipo rotatorio tal como un motor, compresor, bomba o ventilador para diversos servicios. La energía térmica puede utilizarse </w:t>
      </w:r>
      <w:r w:rsidR="003007E8">
        <w:rPr>
          <w:sz w:val="24"/>
          <w:szCs w:val="24"/>
        </w:rPr>
        <w:t>para aplicaciones directas en los procesos de fabricación o indirectas para la producción de vapor, agua caliente, aire caliente para secado o agua helada para procesos de frío.</w:t>
      </w:r>
    </w:p>
    <w:p w:rsidR="003007E8" w:rsidRDefault="003007E8">
      <w:pPr>
        <w:rPr>
          <w:sz w:val="24"/>
          <w:szCs w:val="24"/>
        </w:rPr>
      </w:pPr>
      <w:r>
        <w:rPr>
          <w:sz w:val="24"/>
          <w:szCs w:val="24"/>
        </w:rPr>
        <w:t>La cogeneración proporciona un amplio abanico de tecnologías de aplicación en diversos dominios de las actividades económicas. La eficiencia total puede alcanzar el 85% e incluso por encima en algunos casos.</w:t>
      </w:r>
    </w:p>
    <w:p w:rsidR="004C1B45" w:rsidRDefault="004C1B45">
      <w:pPr>
        <w:rPr>
          <w:sz w:val="24"/>
          <w:szCs w:val="24"/>
        </w:rPr>
      </w:pPr>
      <w:r>
        <w:rPr>
          <w:sz w:val="24"/>
          <w:szCs w:val="24"/>
        </w:rPr>
        <w:t>Por ejemplo en el esquema de la figura 7.2 una industria requiere 24 unidades de energía eléctrica y 34 unidades de energía térmica. A través de una ruta separada de Calor  y Energía eléctrica el input de energía primaria será de 60 unidades (24/0.4)</w:t>
      </w:r>
      <w:r w:rsidR="00637E2A">
        <w:rPr>
          <w:sz w:val="24"/>
          <w:szCs w:val="24"/>
        </w:rPr>
        <w:t xml:space="preserve"> para obtener las 24 unidades de energía eléctrica</w:t>
      </w:r>
      <w:r>
        <w:rPr>
          <w:sz w:val="24"/>
          <w:szCs w:val="24"/>
        </w:rPr>
        <w:t>. Si se utiliza una caldera separada para la generación de vapor el input de combustible será de 40 unidades (34/0,85). Si la instalación tuviera cogeneración, entonces el input de energía primaria sería sólo de 68 unidades ((24 +34)/0,85) para satisfacer las necesidades tanto las necesidades eléctricas como de calor. Se puede observar que las pérdidas serían de 42 unidades en el caso de vías separadas de calor y electricidad</w:t>
      </w:r>
      <w:r w:rsidR="009C5473">
        <w:rPr>
          <w:sz w:val="24"/>
          <w:szCs w:val="24"/>
        </w:rPr>
        <w:t>, mientras que serían 10 unidades en el caso de cogeneración.</w:t>
      </w:r>
    </w:p>
    <w:p w:rsidR="009C5473" w:rsidRDefault="009C5473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Además del ahorro de combustible fósil la cogeneración también permite la reducción de la emisión de gases de invernadero </w:t>
      </w:r>
      <w:proofErr w:type="gramStart"/>
      <w:r>
        <w:rPr>
          <w:sz w:val="24"/>
          <w:szCs w:val="24"/>
        </w:rPr>
        <w:t>( especialmente</w:t>
      </w:r>
      <w:proofErr w:type="gramEnd"/>
      <w:r>
        <w:rPr>
          <w:sz w:val="24"/>
          <w:szCs w:val="24"/>
        </w:rPr>
        <w:t xml:space="preserve"> de la emisión de CO2). La producción de electricidad siendo in situ, permite reducir la carga de la red de distribución y se eliminan las pérdidas de transmisión en las líneas.</w:t>
      </w:r>
    </w:p>
    <w:p w:rsidR="009C5473" w:rsidRDefault="009C5473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4195471" cy="579600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404" t="21469" r="53437" b="4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471" cy="57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473" w:rsidRDefault="009C5473">
      <w:pPr>
        <w:rPr>
          <w:sz w:val="24"/>
          <w:szCs w:val="24"/>
        </w:rPr>
      </w:pPr>
      <w:r>
        <w:rPr>
          <w:sz w:val="24"/>
          <w:szCs w:val="24"/>
        </w:rPr>
        <w:t>La cogeneración tiene sentido tanto desde los puntos de vista macro como micro. A nivel macro, permite ahorrar por el sector privado una parte de la carga financiera de la red de distribución nacional; además se pueden mantener los recursos</w:t>
      </w:r>
      <w:r w:rsidR="0076565F">
        <w:rPr>
          <w:sz w:val="24"/>
          <w:szCs w:val="24"/>
        </w:rPr>
        <w:t xml:space="preserve"> propios de energía</w:t>
      </w:r>
      <w:r w:rsidR="008B7416">
        <w:rPr>
          <w:sz w:val="24"/>
          <w:szCs w:val="24"/>
        </w:rPr>
        <w:t>. A nivel micro puede reducirse la</w:t>
      </w:r>
      <w:r w:rsidR="00637E2A">
        <w:rPr>
          <w:sz w:val="24"/>
          <w:szCs w:val="24"/>
        </w:rPr>
        <w:t xml:space="preserve"> factura global de los usuarios</w:t>
      </w:r>
      <w:r w:rsidR="008B7416">
        <w:rPr>
          <w:sz w:val="24"/>
          <w:szCs w:val="24"/>
        </w:rPr>
        <w:t xml:space="preserve">, en especial cuando existe una necesidad simultánea tanto de calor como de electricidad en el lugar elegido y se practica una tarifa racional en el país. </w:t>
      </w:r>
    </w:p>
    <w:p w:rsidR="00637E2A" w:rsidRDefault="00637E2A">
      <w:pPr>
        <w:rPr>
          <w:sz w:val="24"/>
          <w:szCs w:val="24"/>
        </w:rPr>
      </w:pPr>
    </w:p>
    <w:p w:rsidR="00637E2A" w:rsidRDefault="00637E2A">
      <w:pPr>
        <w:rPr>
          <w:sz w:val="24"/>
          <w:szCs w:val="24"/>
        </w:rPr>
      </w:pPr>
    </w:p>
    <w:p w:rsidR="008B7416" w:rsidRDefault="008B7416">
      <w:pPr>
        <w:rPr>
          <w:sz w:val="24"/>
          <w:szCs w:val="24"/>
        </w:rPr>
      </w:pPr>
      <w:r>
        <w:rPr>
          <w:sz w:val="24"/>
          <w:szCs w:val="24"/>
        </w:rPr>
        <w:lastRenderedPageBreak/>
        <w:t>7.3 Opciones técnicas para la cogeneración.</w:t>
      </w:r>
    </w:p>
    <w:p w:rsidR="008B7416" w:rsidRDefault="008B7416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182446" cy="3057525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613" cy="305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416" w:rsidRDefault="008B7416">
      <w:pPr>
        <w:rPr>
          <w:sz w:val="24"/>
          <w:szCs w:val="24"/>
        </w:rPr>
      </w:pPr>
    </w:p>
    <w:p w:rsidR="008B7416" w:rsidRDefault="008B7416">
      <w:pPr>
        <w:rPr>
          <w:sz w:val="24"/>
          <w:szCs w:val="24"/>
        </w:rPr>
      </w:pPr>
    </w:p>
    <w:p w:rsidR="008B7416" w:rsidRDefault="008B7416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4810125" cy="3235455"/>
            <wp:effectExtent l="1905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008" cy="324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416" w:rsidRDefault="008B7416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556063" cy="3200400"/>
            <wp:effectExtent l="19050" t="0" r="6537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063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16B" w:rsidRDefault="00BA516B">
      <w:pPr>
        <w:rPr>
          <w:sz w:val="24"/>
          <w:szCs w:val="24"/>
        </w:rPr>
      </w:pPr>
      <w:r>
        <w:rPr>
          <w:sz w:val="24"/>
          <w:szCs w:val="24"/>
        </w:rPr>
        <w:t>Esta sección comprende varios tipos de sistemas de cogeneración: Cogeneración con turbina de vapor, con turbina de gas y de motor recíproco. También incluye la clasificación en base a la secuencia de energía utilizada.</w:t>
      </w:r>
    </w:p>
    <w:p w:rsidR="00E81D68" w:rsidRDefault="00E81D68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400040" cy="3375025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D68" w:rsidRDefault="00E81D68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153600" cy="4608000"/>
            <wp:effectExtent l="19050" t="0" r="0" b="0"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9929" t="17232" r="18589" b="8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600" cy="46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D68" w:rsidRDefault="00E81D68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629029" cy="4212000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9929" t="17514" r="18519" b="8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029" cy="42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D68" w:rsidRDefault="00E81D68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905888" cy="4428000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753" t="17232" r="18342" b="7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888" cy="44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76E" w:rsidRDefault="0095476E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534916" cy="4068000"/>
            <wp:effectExtent l="19050" t="0" r="8634" b="0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6667" r="70088" b="48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916" cy="40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E2A" w:rsidRDefault="00E81D68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257573" cy="3960000"/>
            <wp:effectExtent l="19050" t="0" r="227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9912" t="17232" r="18413" b="7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57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ES"/>
        </w:rPr>
        <w:drawing>
          <wp:inline distT="0" distB="0" distL="0" distR="0">
            <wp:extent cx="6050563" cy="4536000"/>
            <wp:effectExtent l="19050" t="0" r="7337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9930" t="16949" r="18236" b="8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563" cy="45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E2A" w:rsidRDefault="00637E2A">
      <w:pPr>
        <w:rPr>
          <w:sz w:val="24"/>
          <w:szCs w:val="24"/>
        </w:rPr>
      </w:pPr>
    </w:p>
    <w:p w:rsidR="00E81D68" w:rsidRDefault="00E81D68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993257" cy="3744000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0106" t="17514" r="18166" b="8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257" cy="37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779200" cy="4320000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9930" t="17797" r="18236" b="7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20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101763" cy="4572000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9736" t="16949" r="18413" b="8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763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598137" cy="4284000"/>
            <wp:effectExtent l="19050" t="0" r="2563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9753" t="16949" r="18342" b="7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137" cy="42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971200" cy="4464000"/>
            <wp:effectExtent l="1905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0106" t="17232" r="18166" b="8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200" cy="44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856000" cy="4392000"/>
            <wp:effectExtent l="1905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9753" t="17514" r="18166" b="7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000" cy="43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366400" cy="4032000"/>
            <wp:effectExtent l="19050" t="0" r="570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0088" t="17514" r="18413" b="7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400" cy="4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868781" cy="4428000"/>
            <wp:effectExtent l="1905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9929" t="17232" r="18166" b="7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781" cy="44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631386" cy="4212000"/>
            <wp:effectExtent l="19050" t="0" r="7414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9930" t="17514" r="18236" b="8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386" cy="42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663359" cy="4248000"/>
            <wp:effectExtent l="1905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0106" t="17514" r="18342" b="8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359" cy="42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526952" cy="3816000"/>
            <wp:effectExtent l="1905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9929" t="17797" r="13051" b="7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952" cy="38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643497" cy="4248000"/>
            <wp:effectExtent l="1905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0088" t="17232" r="18413" b="7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497" cy="42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108864" cy="4536000"/>
            <wp:effectExtent l="19050" t="0" r="6186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9753" t="17514" r="17989" b="7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864" cy="45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727230" cy="4320000"/>
            <wp:effectExtent l="19050" t="0" r="682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9929" t="16949" r="18342" b="7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23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76E" w:rsidRPr="003007E8" w:rsidRDefault="0095476E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268141" cy="3924000"/>
            <wp:effectExtent l="19050" t="0" r="0" b="0"/>
            <wp:docPr id="1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14972" r="64974" b="50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141" cy="39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476E" w:rsidRPr="003007E8" w:rsidSect="00FF7E6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775590"/>
    <w:multiLevelType w:val="multilevel"/>
    <w:tmpl w:val="69E25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30BD3"/>
    <w:rsid w:val="00125BA7"/>
    <w:rsid w:val="00153562"/>
    <w:rsid w:val="001F7AAC"/>
    <w:rsid w:val="002E504A"/>
    <w:rsid w:val="003007E8"/>
    <w:rsid w:val="004C1B45"/>
    <w:rsid w:val="004C7BE9"/>
    <w:rsid w:val="00610AA6"/>
    <w:rsid w:val="00637E2A"/>
    <w:rsid w:val="0076565F"/>
    <w:rsid w:val="00830BD3"/>
    <w:rsid w:val="008B7416"/>
    <w:rsid w:val="008F7621"/>
    <w:rsid w:val="0095476E"/>
    <w:rsid w:val="009C5473"/>
    <w:rsid w:val="00AA0030"/>
    <w:rsid w:val="00BA516B"/>
    <w:rsid w:val="00C57CED"/>
    <w:rsid w:val="00E81D68"/>
    <w:rsid w:val="00F470DB"/>
    <w:rsid w:val="00FC0A62"/>
    <w:rsid w:val="00FF7E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7E64"/>
  </w:style>
  <w:style w:type="paragraph" w:styleId="Ttulo3">
    <w:name w:val="heading 3"/>
    <w:basedOn w:val="Normal"/>
    <w:link w:val="Ttulo3Car"/>
    <w:uiPriority w:val="9"/>
    <w:qFormat/>
    <w:rsid w:val="0095476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30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0BD3"/>
    <w:rPr>
      <w:rFonts w:ascii="Tahoma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uiPriority w:val="9"/>
    <w:rsid w:val="0095476E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95476E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95476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547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08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85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7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835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62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127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880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72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uropa.eu/legislation_summaries/energy/energy_efficiency/l27021_en.ht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hyperlink" Target="http://eur-lex.europa.eu/LexUriServ/LexUriServ.do?uri=CELEX:32007D0074:EN:NOT" TargetMode="Externa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hyperlink" Target="http://eur-lex.europa.eu/LexUriServ/LexUriServ.do?uri=CELEX:32008D0952:EN:NOT" TargetMode="External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hyperlink" Target="http://eur-lex.europa.eu/LexUriServ/LexUriServ.do?uri=CELEX:32004L0008:EN:HTML:NOT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</Pages>
  <Words>691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Franciso Fabregas</dc:creator>
  <cp:keywords/>
  <dc:description/>
  <cp:lastModifiedBy>Franciso Fabregas</cp:lastModifiedBy>
  <cp:revision>2</cp:revision>
  <dcterms:created xsi:type="dcterms:W3CDTF">2011-12-18T21:56:00Z</dcterms:created>
  <dcterms:modified xsi:type="dcterms:W3CDTF">2011-12-26T23:35:00Z</dcterms:modified>
</cp:coreProperties>
</file>