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CE22EE">
      <w:hyperlink r:id="rId5" w:history="1">
        <w:r w:rsidRPr="004D701D">
          <w:rPr>
            <w:rStyle w:val="Hipervnculo"/>
          </w:rPr>
          <w:t>http://www.hortalizas.com/articulo/35303/recomendaciones-sobre-suelo-artificial-parte-i</w:t>
        </w:r>
      </w:hyperlink>
      <w:r>
        <w:t xml:space="preserve">  </w:t>
      </w:r>
      <w:bookmarkStart w:id="0" w:name="_GoBack"/>
      <w:bookmarkEnd w:id="0"/>
    </w:p>
    <w:sectPr w:rsidR="00A95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E"/>
    <w:rsid w:val="00233D1E"/>
    <w:rsid w:val="00CE22EE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talizas.com/articulo/35303/recomendaciones-sobre-suelo-artificial-parte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2013-09-02T09:20:00Z</dcterms:created>
  <dcterms:modified xsi:type="dcterms:W3CDTF">2013-09-02T09:21:00Z</dcterms:modified>
</cp:coreProperties>
</file>